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F1FFF" w14:textId="285F9BC9" w:rsidR="00D101F7" w:rsidRDefault="00D101F7">
      <w:pPr>
        <w:rPr>
          <w:rFonts w:ascii="Times New Roman" w:hAnsi="Times New Roman" w:cs="Times New Roman"/>
          <w:b/>
          <w:bCs/>
        </w:rPr>
      </w:pPr>
      <w:r>
        <w:rPr>
          <w:rFonts w:ascii="Times New Roman" w:hAnsi="Times New Roman" w:cs="Times New Roman"/>
          <w:b/>
          <w:bCs/>
        </w:rPr>
        <w:t xml:space="preserve">RESUMEN DE ANÁLISIS DE IMPACTO REGULATORIO </w:t>
      </w:r>
    </w:p>
    <w:p w14:paraId="477520C0" w14:textId="77777777" w:rsidR="00D101F7" w:rsidRDefault="00D101F7">
      <w:pPr>
        <w:rPr>
          <w:rFonts w:ascii="Times New Roman" w:hAnsi="Times New Roman" w:cs="Times New Roman"/>
          <w:b/>
          <w:bCs/>
        </w:rPr>
      </w:pPr>
    </w:p>
    <w:p w14:paraId="3A87193D" w14:textId="27F829CB" w:rsidR="00354090" w:rsidRPr="003F69C8" w:rsidRDefault="00D101F7">
      <w:pPr>
        <w:rPr>
          <w:rFonts w:ascii="Times New Roman" w:hAnsi="Times New Roman" w:cs="Times New Roman"/>
          <w:b/>
          <w:bCs/>
        </w:rPr>
      </w:pPr>
      <w:r w:rsidRPr="00D101F7">
        <w:rPr>
          <w:rFonts w:ascii="Times New Roman" w:hAnsi="Times New Roman" w:cs="Times New Roman"/>
          <w:b/>
          <w:bCs/>
        </w:rPr>
        <w:t>DEFINICIÓN DE LA PROBLEMÁTICA Y OBJETIVOS QUE SE PERSIGUE</w:t>
      </w:r>
      <w:r>
        <w:rPr>
          <w:rFonts w:ascii="Times New Roman" w:hAnsi="Times New Roman" w:cs="Times New Roman"/>
          <w:b/>
          <w:bCs/>
        </w:rPr>
        <w:t>N</w:t>
      </w:r>
      <w:r w:rsidR="004B7F5F">
        <w:rPr>
          <w:rFonts w:ascii="Times New Roman" w:hAnsi="Times New Roman" w:cs="Times New Roman"/>
          <w:b/>
          <w:bCs/>
        </w:rPr>
        <w:t>:</w:t>
      </w:r>
    </w:p>
    <w:p w14:paraId="74BA48B8" w14:textId="455057C4" w:rsidR="00094619" w:rsidRDefault="00354090" w:rsidP="004B7F5F">
      <w:pPr>
        <w:jc w:val="both"/>
        <w:rPr>
          <w:rFonts w:ascii="Times New Roman" w:hAnsi="Times New Roman" w:cs="Times New Roman"/>
        </w:rPr>
      </w:pPr>
      <w:r w:rsidRPr="003F69C8">
        <w:rPr>
          <w:rFonts w:ascii="Times New Roman" w:hAnsi="Times New Roman" w:cs="Times New Roman"/>
        </w:rPr>
        <w:t xml:space="preserve">EL Plan Regulatorio Institucional como el </w:t>
      </w:r>
      <w:r w:rsidR="00EE10F9" w:rsidRPr="003F69C8">
        <w:rPr>
          <w:rFonts w:ascii="Times New Roman" w:hAnsi="Times New Roman" w:cs="Times New Roman"/>
        </w:rPr>
        <w:t xml:space="preserve">instrumento de planificación basado en el detalle de potenciales regulaciones previamente argumentadas y justificadas a través de un proceso de Análisis de Impacto Regulatorio – AIR – </w:t>
      </w:r>
      <w:r w:rsidRPr="003F69C8">
        <w:rPr>
          <w:rFonts w:ascii="Times New Roman" w:hAnsi="Times New Roman" w:cs="Times New Roman"/>
        </w:rPr>
        <w:t xml:space="preserve"> el mismo </w:t>
      </w:r>
      <w:r w:rsidR="00EE10F9" w:rsidRPr="003F69C8">
        <w:rPr>
          <w:rFonts w:ascii="Times New Roman" w:hAnsi="Times New Roman" w:cs="Times New Roman"/>
        </w:rPr>
        <w:t>que se proyecta elaborar, presentar o emitir durante un año fiscal,</w:t>
      </w:r>
      <w:r w:rsidR="00094619" w:rsidRPr="003F69C8">
        <w:rPr>
          <w:rFonts w:ascii="Times New Roman" w:hAnsi="Times New Roman" w:cs="Times New Roman"/>
        </w:rPr>
        <w:t xml:space="preserve"> metodologías y lineamientos técnicos o jurídicos, que permitan mejorar</w:t>
      </w:r>
      <w:r w:rsidR="00EE10F9" w:rsidRPr="003F69C8">
        <w:rPr>
          <w:rFonts w:ascii="Times New Roman" w:hAnsi="Times New Roman" w:cs="Times New Roman"/>
        </w:rPr>
        <w:t xml:space="preserve"> </w:t>
      </w:r>
      <w:r w:rsidR="00094619" w:rsidRPr="003F69C8">
        <w:rPr>
          <w:rFonts w:ascii="Times New Roman" w:hAnsi="Times New Roman" w:cs="Times New Roman"/>
        </w:rPr>
        <w:t xml:space="preserve"> o </w:t>
      </w:r>
      <w:r w:rsidR="00EE10F9" w:rsidRPr="003F69C8">
        <w:rPr>
          <w:rFonts w:ascii="Times New Roman" w:hAnsi="Times New Roman" w:cs="Times New Roman"/>
        </w:rPr>
        <w:t>corregir un problema sectorial</w:t>
      </w:r>
      <w:r w:rsidR="00094619" w:rsidRPr="003F69C8">
        <w:rPr>
          <w:rFonts w:ascii="Times New Roman" w:hAnsi="Times New Roman" w:cs="Times New Roman"/>
        </w:rPr>
        <w:t xml:space="preserve"> en función de provocar</w:t>
      </w:r>
      <w:r w:rsidR="00EE10F9" w:rsidRPr="003F69C8">
        <w:rPr>
          <w:rFonts w:ascii="Times New Roman" w:hAnsi="Times New Roman" w:cs="Times New Roman"/>
        </w:rPr>
        <w:t xml:space="preserve"> el desarrollo de una actividad </w:t>
      </w:r>
      <w:r w:rsidR="00094619" w:rsidRPr="003F69C8">
        <w:rPr>
          <w:rFonts w:ascii="Times New Roman" w:hAnsi="Times New Roman" w:cs="Times New Roman"/>
        </w:rPr>
        <w:t>con el enfoque d</w:t>
      </w:r>
      <w:r w:rsidR="00EE10F9" w:rsidRPr="003F69C8">
        <w:rPr>
          <w:rFonts w:ascii="Times New Roman" w:hAnsi="Times New Roman" w:cs="Times New Roman"/>
        </w:rPr>
        <w:t>el bienestar de la sociedad</w:t>
      </w:r>
      <w:r w:rsidR="00192E9B" w:rsidRPr="003F69C8">
        <w:rPr>
          <w:rFonts w:ascii="Times New Roman" w:hAnsi="Times New Roman" w:cs="Times New Roman"/>
        </w:rPr>
        <w:t xml:space="preserve"> mediante un diseño de estrategias y programas, además de la generación de normativa que dentro de sus competencias, ejerciendo </w:t>
      </w:r>
      <w:r w:rsidR="00C72DD5" w:rsidRPr="003F69C8">
        <w:rPr>
          <w:rFonts w:ascii="Times New Roman" w:hAnsi="Times New Roman" w:cs="Times New Roman"/>
        </w:rPr>
        <w:t xml:space="preserve">la rectoría para la planificación, regulación, control, financiamiento y elaboración de políticas públicas de hábitat y vivienda </w:t>
      </w:r>
      <w:r w:rsidR="00E4080D" w:rsidRPr="003F69C8">
        <w:rPr>
          <w:rFonts w:ascii="Times New Roman" w:hAnsi="Times New Roman" w:cs="Times New Roman"/>
        </w:rPr>
        <w:t xml:space="preserve">le </w:t>
      </w:r>
      <w:r w:rsidR="00C72DD5" w:rsidRPr="003F69C8">
        <w:rPr>
          <w:rFonts w:ascii="Times New Roman" w:hAnsi="Times New Roman" w:cs="Times New Roman"/>
        </w:rPr>
        <w:t xml:space="preserve">compete </w:t>
      </w:r>
      <w:r w:rsidR="00192E9B" w:rsidRPr="003F69C8">
        <w:rPr>
          <w:rFonts w:ascii="Times New Roman" w:hAnsi="Times New Roman" w:cs="Times New Roman"/>
        </w:rPr>
        <w:t xml:space="preserve"> el Ministerio de Desarrollo Urbano y Vivienda MIDUVI</w:t>
      </w:r>
      <w:r w:rsidR="00094619" w:rsidRPr="003F69C8">
        <w:rPr>
          <w:rFonts w:ascii="Times New Roman" w:hAnsi="Times New Roman" w:cs="Times New Roman"/>
        </w:rPr>
        <w:t>.</w:t>
      </w:r>
    </w:p>
    <w:p w14:paraId="1BA093A1" w14:textId="44D31456" w:rsidR="004B7F5F" w:rsidRPr="004B7F5F" w:rsidRDefault="004B7F5F" w:rsidP="004B7F5F">
      <w:pPr>
        <w:jc w:val="both"/>
        <w:rPr>
          <w:rFonts w:ascii="Times New Roman" w:hAnsi="Times New Roman" w:cs="Times New Roman"/>
        </w:rPr>
      </w:pPr>
      <w:r w:rsidRPr="004B7F5F">
        <w:rPr>
          <w:rFonts w:ascii="Times New Roman" w:hAnsi="Times New Roman" w:cs="Times New Roman"/>
          <w:b/>
          <w:bCs/>
        </w:rPr>
        <w:t>IDENTIFICACIÓN DE LAS POSIBLES ALTERNATIVAS PARA ATENDER LA PROBLEMÁTICA</w:t>
      </w:r>
      <w:r>
        <w:rPr>
          <w:rFonts w:ascii="Times New Roman" w:hAnsi="Times New Roman" w:cs="Times New Roman"/>
        </w:rPr>
        <w:t>:</w:t>
      </w:r>
    </w:p>
    <w:p w14:paraId="2128A1DF" w14:textId="77777777" w:rsidR="008103CA" w:rsidRPr="008103CA" w:rsidRDefault="008103CA" w:rsidP="008103CA">
      <w:pPr>
        <w:jc w:val="both"/>
        <w:rPr>
          <w:rFonts w:ascii="Times New Roman" w:hAnsi="Times New Roman" w:cs="Times New Roman"/>
        </w:rPr>
      </w:pPr>
      <w:r w:rsidRPr="008103CA">
        <w:rPr>
          <w:rFonts w:ascii="Times New Roman" w:hAnsi="Times New Roman" w:cs="Times New Roman"/>
        </w:rPr>
        <w:t xml:space="preserve">En el Ecuador el déficit habitacional en zonas rurales como urbanas, es un fenómeno frecuente y a gran escala marcado por los desplazamientos humanos y la ocupación de tierras ajenas en zonas rurales, que generalmente se hallan sin producción por parte del estado. </w:t>
      </w:r>
    </w:p>
    <w:p w14:paraId="7E67AA6B" w14:textId="77777777" w:rsidR="008103CA" w:rsidRPr="008103CA" w:rsidRDefault="008103CA" w:rsidP="008103CA">
      <w:pPr>
        <w:jc w:val="both"/>
        <w:rPr>
          <w:rFonts w:ascii="Times New Roman" w:hAnsi="Times New Roman" w:cs="Times New Roman"/>
        </w:rPr>
      </w:pPr>
      <w:r w:rsidRPr="008103CA">
        <w:rPr>
          <w:rFonts w:ascii="Times New Roman" w:hAnsi="Times New Roman" w:cs="Times New Roman"/>
        </w:rPr>
        <w:t xml:space="preserve">A fin de evitar que la cifra de asentamientos humanos en situación de pobreza aumente, el Gobierno Central, a través del MIDUVI, debe establecer programas de atención habitacional con la finalidad de que esa cifra se reduzca. Como parte inicial de atención a este sector poblacional es dotar de acceso al suelo que se encuentra vacante y que por la necesidad social ha sido ocupado con la finalidad de destinarlo a vivienda. </w:t>
      </w:r>
    </w:p>
    <w:p w14:paraId="47DA79B1" w14:textId="334EA930" w:rsidR="008103CA" w:rsidRPr="008103CA" w:rsidRDefault="008103CA" w:rsidP="008103CA">
      <w:pPr>
        <w:jc w:val="both"/>
        <w:rPr>
          <w:rFonts w:ascii="Times New Roman" w:hAnsi="Times New Roman" w:cs="Times New Roman"/>
        </w:rPr>
      </w:pPr>
      <w:r w:rsidRPr="008103CA">
        <w:rPr>
          <w:rFonts w:ascii="Times New Roman" w:hAnsi="Times New Roman" w:cs="Times New Roman"/>
        </w:rPr>
        <w:t xml:space="preserve">Resulta necesaria la actuación inmediata para mejorar la calidad de vida de las personas de menores recursos que habitan en las zonas rurales del Ecuador.  Una primera tarea consiste en regularizar la tenencia del suelo que se halla </w:t>
      </w:r>
      <w:r w:rsidR="00AE3FF3">
        <w:rPr>
          <w:rFonts w:ascii="Times New Roman" w:hAnsi="Times New Roman" w:cs="Times New Roman"/>
        </w:rPr>
        <w:t>en vacante</w:t>
      </w:r>
      <w:r w:rsidRPr="008103CA">
        <w:rPr>
          <w:rFonts w:ascii="Times New Roman" w:hAnsi="Times New Roman" w:cs="Times New Roman"/>
        </w:rPr>
        <w:t xml:space="preserve">, que es de propiedad del Estado y que, por temas de necesidad, las personas han visto la oportunidad de asentarse en zonas rurales vacantes, edificando sus viviendas pese a no contar con títulos de propiedad. </w:t>
      </w:r>
    </w:p>
    <w:p w14:paraId="4D2ABB80" w14:textId="77777777" w:rsidR="008103CA" w:rsidRPr="008103CA" w:rsidRDefault="008103CA" w:rsidP="008103CA">
      <w:pPr>
        <w:jc w:val="both"/>
        <w:rPr>
          <w:rFonts w:ascii="Times New Roman" w:hAnsi="Times New Roman" w:cs="Times New Roman"/>
        </w:rPr>
      </w:pPr>
      <w:r w:rsidRPr="008103CA">
        <w:rPr>
          <w:rFonts w:ascii="Times New Roman" w:hAnsi="Times New Roman" w:cs="Times New Roman"/>
        </w:rPr>
        <w:t xml:space="preserve">La regularización y titularización de esta tierra estatal en favor de los posesionarios responde de alguna manera en proveer una hábitat y vivienda digna a los asentamientos humanos, pues es justamente este sector que tiene menores recursos y que requiere de atención urgente. </w:t>
      </w:r>
    </w:p>
    <w:p w14:paraId="1F780564" w14:textId="77777777" w:rsidR="009729C2" w:rsidRDefault="00975414" w:rsidP="008103CA">
      <w:pPr>
        <w:jc w:val="both"/>
        <w:rPr>
          <w:rFonts w:ascii="Times New Roman" w:hAnsi="Times New Roman" w:cs="Times New Roman"/>
        </w:rPr>
      </w:pPr>
      <w:r>
        <w:rPr>
          <w:rFonts w:ascii="Times New Roman" w:hAnsi="Times New Roman" w:cs="Times New Roman"/>
        </w:rPr>
        <w:t>Para dar atención a la problemática establecida, el MIDUVI, dentro de sus competencias y atribuciones como ente rector de hábitat y vivienda</w:t>
      </w:r>
      <w:r w:rsidR="00F07247">
        <w:rPr>
          <w:rFonts w:ascii="Times New Roman" w:hAnsi="Times New Roman" w:cs="Times New Roman"/>
        </w:rPr>
        <w:t>,</w:t>
      </w:r>
      <w:r>
        <w:rPr>
          <w:rFonts w:ascii="Times New Roman" w:hAnsi="Times New Roman" w:cs="Times New Roman"/>
        </w:rPr>
        <w:t xml:space="preserve"> ha definido y levantado un proceso simplificado de regularización de tierras rurales estatales, redefiniendo la política pública mediante una reformatoria a la Ley</w:t>
      </w:r>
      <w:r w:rsidR="005C51C3">
        <w:rPr>
          <w:rFonts w:ascii="Times New Roman" w:hAnsi="Times New Roman" w:cs="Times New Roman"/>
        </w:rPr>
        <w:t xml:space="preserve"> Orgánica de Tierras Rurales y Territorios Ancestrales, otorgándole de esta manera al MIDUVI, la competencia exclusiva para la regularización de vivienda en la zona rural</w:t>
      </w:r>
      <w:r>
        <w:rPr>
          <w:rFonts w:ascii="Times New Roman" w:hAnsi="Times New Roman" w:cs="Times New Roman"/>
        </w:rPr>
        <w:t xml:space="preserve">, </w:t>
      </w:r>
      <w:r w:rsidR="009729C2">
        <w:rPr>
          <w:rFonts w:ascii="Times New Roman" w:hAnsi="Times New Roman" w:cs="Times New Roman"/>
        </w:rPr>
        <w:t>con la finalidad de dar viabilidad al</w:t>
      </w:r>
      <w:r>
        <w:rPr>
          <w:rFonts w:ascii="Times New Roman" w:hAnsi="Times New Roman" w:cs="Times New Roman"/>
        </w:rPr>
        <w:t xml:space="preserve"> Programa </w:t>
      </w:r>
      <w:r w:rsidR="005C51C3">
        <w:rPr>
          <w:rFonts w:ascii="Times New Roman" w:hAnsi="Times New Roman" w:cs="Times New Roman"/>
        </w:rPr>
        <w:t>“Creamos Patrimonio”</w:t>
      </w:r>
      <w:r w:rsidR="009729C2">
        <w:rPr>
          <w:rFonts w:ascii="Times New Roman" w:hAnsi="Times New Roman" w:cs="Times New Roman"/>
        </w:rPr>
        <w:t>.</w:t>
      </w:r>
    </w:p>
    <w:p w14:paraId="19389E4C" w14:textId="313EF144" w:rsidR="0098466C" w:rsidRPr="003F69C8" w:rsidRDefault="00CD7104" w:rsidP="0098466C">
      <w:pPr>
        <w:spacing w:line="240" w:lineRule="auto"/>
        <w:ind w:hanging="2"/>
        <w:jc w:val="both"/>
        <w:rPr>
          <w:rFonts w:ascii="Times New Roman" w:eastAsia="Times New Roman" w:hAnsi="Times New Roman" w:cs="Times New Roman"/>
        </w:rPr>
      </w:pPr>
      <w:r w:rsidRPr="003F69C8">
        <w:rPr>
          <w:rFonts w:ascii="Times New Roman" w:eastAsia="Times New Roman" w:hAnsi="Times New Roman" w:cs="Times New Roman"/>
        </w:rPr>
        <w:t>En tal virtud el Art. 54 de la mentada Ley, ya desvincula la atribución</w:t>
      </w:r>
      <w:r w:rsidR="00515B37" w:rsidRPr="003F69C8">
        <w:rPr>
          <w:rFonts w:ascii="Times New Roman" w:eastAsia="Times New Roman" w:hAnsi="Times New Roman" w:cs="Times New Roman"/>
        </w:rPr>
        <w:t xml:space="preserve"> </w:t>
      </w:r>
      <w:r w:rsidRPr="003F69C8">
        <w:rPr>
          <w:rFonts w:ascii="Times New Roman" w:eastAsia="Times New Roman" w:hAnsi="Times New Roman" w:cs="Times New Roman"/>
        </w:rPr>
        <w:t xml:space="preserve">de gestionar tales regularizaciones de manera exclusiva al Ministerio de Agricultura y Ganadería y en ese orden otorga la competencia de regularizar </w:t>
      </w:r>
      <w:r w:rsidR="00515B37" w:rsidRPr="003F69C8">
        <w:rPr>
          <w:rFonts w:ascii="Times New Roman" w:eastAsia="Times New Roman" w:hAnsi="Times New Roman" w:cs="Times New Roman"/>
        </w:rPr>
        <w:t>los predios estatales para</w:t>
      </w:r>
      <w:r w:rsidR="008874F1" w:rsidRPr="003F69C8">
        <w:rPr>
          <w:rFonts w:ascii="Times New Roman" w:eastAsia="Times New Roman" w:hAnsi="Times New Roman" w:cs="Times New Roman"/>
        </w:rPr>
        <w:t xml:space="preserve"> </w:t>
      </w:r>
      <w:r w:rsidR="00515B37" w:rsidRPr="003F69C8">
        <w:rPr>
          <w:rFonts w:ascii="Times New Roman" w:eastAsia="Times New Roman" w:hAnsi="Times New Roman" w:cs="Times New Roman"/>
        </w:rPr>
        <w:t>los beneficiarios</w:t>
      </w:r>
      <w:r w:rsidR="008874F1" w:rsidRPr="003F69C8">
        <w:rPr>
          <w:rFonts w:ascii="Times New Roman" w:eastAsia="Times New Roman" w:hAnsi="Times New Roman" w:cs="Times New Roman"/>
        </w:rPr>
        <w:t xml:space="preserve"> siempre que sean destinados para vivienda.</w:t>
      </w:r>
      <w:r w:rsidRPr="003F69C8">
        <w:rPr>
          <w:rFonts w:ascii="Times New Roman" w:eastAsia="Times New Roman" w:hAnsi="Times New Roman" w:cs="Times New Roman"/>
        </w:rPr>
        <w:t xml:space="preserve">    </w:t>
      </w:r>
      <w:r w:rsidR="0098466C" w:rsidRPr="003F69C8">
        <w:rPr>
          <w:rFonts w:ascii="Times New Roman" w:eastAsia="Times New Roman" w:hAnsi="Times New Roman" w:cs="Times New Roman"/>
        </w:rPr>
        <w:t xml:space="preserve"> </w:t>
      </w:r>
    </w:p>
    <w:p w14:paraId="24D7B6C3" w14:textId="77777777" w:rsidR="004B0FC2" w:rsidRPr="003F69C8" w:rsidRDefault="004B0FC2" w:rsidP="0098466C">
      <w:pPr>
        <w:spacing w:line="240" w:lineRule="auto"/>
        <w:ind w:hanging="2"/>
        <w:jc w:val="both"/>
        <w:rPr>
          <w:rFonts w:ascii="Times New Roman" w:eastAsia="Times New Roman" w:hAnsi="Times New Roman" w:cs="Times New Roman"/>
        </w:rPr>
      </w:pPr>
      <w:r w:rsidRPr="003F69C8">
        <w:rPr>
          <w:rFonts w:ascii="Times New Roman" w:eastAsia="Times New Roman" w:hAnsi="Times New Roman" w:cs="Times New Roman"/>
        </w:rPr>
        <w:t>Los</w:t>
      </w:r>
      <w:r w:rsidR="0098466C" w:rsidRPr="003F69C8">
        <w:rPr>
          <w:rFonts w:ascii="Times New Roman" w:eastAsia="Times New Roman" w:hAnsi="Times New Roman" w:cs="Times New Roman"/>
        </w:rPr>
        <w:t xml:space="preserve"> artículo</w:t>
      </w:r>
      <w:r w:rsidRPr="003F69C8">
        <w:rPr>
          <w:rFonts w:ascii="Times New Roman" w:eastAsia="Times New Roman" w:hAnsi="Times New Roman" w:cs="Times New Roman"/>
        </w:rPr>
        <w:t>s</w:t>
      </w:r>
      <w:r w:rsidR="0098466C" w:rsidRPr="003F69C8">
        <w:rPr>
          <w:rFonts w:ascii="Times New Roman" w:eastAsia="Times New Roman" w:hAnsi="Times New Roman" w:cs="Times New Roman"/>
        </w:rPr>
        <w:t xml:space="preserve"> 54</w:t>
      </w:r>
      <w:r w:rsidRPr="003F69C8">
        <w:rPr>
          <w:rFonts w:ascii="Times New Roman" w:eastAsia="Times New Roman" w:hAnsi="Times New Roman" w:cs="Times New Roman"/>
        </w:rPr>
        <w:t xml:space="preserve"> y 58</w:t>
      </w:r>
      <w:r w:rsidR="0098466C" w:rsidRPr="003F69C8">
        <w:rPr>
          <w:rFonts w:ascii="Times New Roman" w:eastAsia="Times New Roman" w:hAnsi="Times New Roman" w:cs="Times New Roman"/>
        </w:rPr>
        <w:t xml:space="preserve"> de la Ley Orgánica de Tierras Rurales y Territorios Ancestrales en relación a la vivienda rural prevé: </w:t>
      </w:r>
    </w:p>
    <w:p w14:paraId="75A9D74F" w14:textId="7BA5E875" w:rsidR="0098466C" w:rsidRPr="003F69C8" w:rsidRDefault="004B0FC2" w:rsidP="0098466C">
      <w:pPr>
        <w:spacing w:line="240" w:lineRule="auto"/>
        <w:ind w:hanging="2"/>
        <w:jc w:val="both"/>
        <w:rPr>
          <w:rFonts w:ascii="Times New Roman" w:eastAsia="Times New Roman" w:hAnsi="Times New Roman" w:cs="Times New Roman"/>
        </w:rPr>
      </w:pPr>
      <w:r w:rsidRPr="003F69C8">
        <w:rPr>
          <w:rFonts w:ascii="Times New Roman" w:eastAsia="Times New Roman" w:hAnsi="Times New Roman" w:cs="Times New Roman"/>
        </w:rPr>
        <w:lastRenderedPageBreak/>
        <w:t>Art. 54</w:t>
      </w:r>
      <w:r w:rsidR="0098466C" w:rsidRPr="003F69C8">
        <w:rPr>
          <w:rFonts w:ascii="Times New Roman" w:eastAsia="Times New Roman" w:hAnsi="Times New Roman" w:cs="Times New Roman"/>
          <w:i/>
        </w:rPr>
        <w:t>“La Regularización de la posesión, sea agraria o de vivienda, es el conjunto de acciones determinadas en esta Ley, para legalizar, titular, redistribuir o reconocer el derecho a la propiedad sobre la tierra rural estatal.</w:t>
      </w:r>
    </w:p>
    <w:p w14:paraId="4E6D865D" w14:textId="6AF27A8A" w:rsidR="0098466C" w:rsidRPr="003F69C8" w:rsidRDefault="0098466C" w:rsidP="008874F1">
      <w:pPr>
        <w:spacing w:line="240" w:lineRule="auto"/>
        <w:jc w:val="both"/>
        <w:rPr>
          <w:rFonts w:ascii="Times New Roman" w:eastAsia="Times New Roman" w:hAnsi="Times New Roman" w:cs="Times New Roman"/>
          <w:i/>
        </w:rPr>
      </w:pPr>
      <w:r w:rsidRPr="003F69C8">
        <w:rPr>
          <w:rFonts w:ascii="Times New Roman" w:eastAsia="Times New Roman" w:hAnsi="Times New Roman" w:cs="Times New Roman"/>
          <w:i/>
        </w:rPr>
        <w:t>La regularización agraria es competencia exclusiva de la Autoridad Agraria Nacional y la regularización de vivienda es competencia exclusiva del ente rector de hábitat y vivienda.”.</w:t>
      </w:r>
    </w:p>
    <w:p w14:paraId="7353DFE3" w14:textId="3B6DA661" w:rsidR="004B0FC2" w:rsidRDefault="004B0FC2" w:rsidP="008874F1">
      <w:pPr>
        <w:spacing w:line="240" w:lineRule="auto"/>
        <w:jc w:val="both"/>
        <w:rPr>
          <w:rFonts w:ascii="Times New Roman" w:eastAsia="Times New Roman" w:hAnsi="Times New Roman" w:cs="Times New Roman"/>
          <w:i/>
        </w:rPr>
      </w:pPr>
      <w:r w:rsidRPr="003F69C8">
        <w:rPr>
          <w:rFonts w:ascii="Times New Roman" w:eastAsia="Times New Roman" w:hAnsi="Times New Roman" w:cs="Times New Roman"/>
        </w:rPr>
        <w:t xml:space="preserve">Art. 58 de la Ley Orgánica de Tierras Rurales y Territorios Ancestrales dispone que: </w:t>
      </w:r>
      <w:r w:rsidRPr="003F69C8">
        <w:rPr>
          <w:rFonts w:ascii="Times New Roman" w:eastAsia="Times New Roman" w:hAnsi="Times New Roman" w:cs="Times New Roman"/>
          <w:i/>
        </w:rPr>
        <w:t>“Vivienda rural.- La regularización de predios rurales que actualmente están ocupados o destinados para vivienda de campesinas y campesinos que se encuentran en posesión de tierras estatales, es competencia de la autoridad rectora del desarrollo urbano y vivienda, en coordinación con los Gobiernos Autónomos Descentralizados”.</w:t>
      </w:r>
    </w:p>
    <w:p w14:paraId="67D804F4" w14:textId="34BA4FB4" w:rsidR="00434B45" w:rsidRPr="00434B45" w:rsidRDefault="00434B45" w:rsidP="00434B45">
      <w:pPr>
        <w:spacing w:line="240" w:lineRule="auto"/>
        <w:jc w:val="both"/>
        <w:rPr>
          <w:rFonts w:ascii="Times New Roman" w:eastAsia="Times New Roman" w:hAnsi="Times New Roman" w:cs="Times New Roman"/>
        </w:rPr>
      </w:pPr>
      <w:r w:rsidRPr="00434B45">
        <w:rPr>
          <w:rFonts w:ascii="Times New Roman" w:eastAsia="Times New Roman" w:hAnsi="Times New Roman" w:cs="Times New Roman"/>
        </w:rPr>
        <w:t>Por lo tanto, al tratarse de un tema que afecta a nivel nacional, como es el caso de la falta de automatización y eficiencia en el procedimiento para la regularización y adjudicación de predios rurales que actualmente están ocupados o destinados para vivienda de campesinas y campesinos que se encuentran en posesión de tierras estatales; en el ámbito normativo, existe una obligatoriedad que debe ser cumplida</w:t>
      </w:r>
      <w:r w:rsidR="00230CAC">
        <w:rPr>
          <w:rFonts w:ascii="Times New Roman" w:eastAsia="Times New Roman" w:hAnsi="Times New Roman" w:cs="Times New Roman"/>
        </w:rPr>
        <w:t>, mediante precisamente la implementación y definición de un proceso de regularización a través del programa “Creamos Patrimonio”.</w:t>
      </w:r>
    </w:p>
    <w:p w14:paraId="6AD6D3C6" w14:textId="2497098A" w:rsidR="009F1B46" w:rsidRPr="003F69C8" w:rsidRDefault="009A66C2" w:rsidP="009F1B46">
      <w:pPr>
        <w:spacing w:line="240" w:lineRule="auto"/>
        <w:jc w:val="both"/>
        <w:rPr>
          <w:rFonts w:ascii="Times New Roman" w:eastAsia="Times New Roman" w:hAnsi="Times New Roman" w:cs="Times New Roman"/>
        </w:rPr>
      </w:pPr>
      <w:r w:rsidRPr="003F69C8">
        <w:rPr>
          <w:rFonts w:ascii="Times New Roman" w:hAnsi="Times New Roman" w:cs="Times New Roman"/>
        </w:rPr>
        <w:t>Es importante considerar la participación de los ciudadanos, para recolectar</w:t>
      </w:r>
      <w:r w:rsidRPr="003F69C8">
        <w:rPr>
          <w:rFonts w:ascii="Times New Roman" w:hAnsi="Times New Roman" w:cs="Times New Roman"/>
          <w:spacing w:val="1"/>
        </w:rPr>
        <w:t xml:space="preserve"> </w:t>
      </w:r>
      <w:r w:rsidRPr="003F69C8">
        <w:rPr>
          <w:rFonts w:ascii="Times New Roman" w:hAnsi="Times New Roman" w:cs="Times New Roman"/>
        </w:rPr>
        <w:t>información necesaria que permita continuar con la estructuración del instrumento regulatorio y que mejore la</w:t>
      </w:r>
      <w:r w:rsidRPr="003F69C8">
        <w:rPr>
          <w:rFonts w:ascii="Times New Roman" w:hAnsi="Times New Roman" w:cs="Times New Roman"/>
          <w:spacing w:val="-3"/>
        </w:rPr>
        <w:t xml:space="preserve"> </w:t>
      </w:r>
      <w:r w:rsidRPr="003F69C8">
        <w:rPr>
          <w:rFonts w:ascii="Times New Roman" w:hAnsi="Times New Roman" w:cs="Times New Roman"/>
        </w:rPr>
        <w:t>elaboración</w:t>
      </w:r>
      <w:r w:rsidRPr="003F69C8">
        <w:rPr>
          <w:rFonts w:ascii="Times New Roman" w:hAnsi="Times New Roman" w:cs="Times New Roman"/>
          <w:spacing w:val="-5"/>
        </w:rPr>
        <w:t xml:space="preserve"> </w:t>
      </w:r>
      <w:r w:rsidRPr="003F69C8">
        <w:rPr>
          <w:rFonts w:ascii="Times New Roman" w:hAnsi="Times New Roman" w:cs="Times New Roman"/>
        </w:rPr>
        <w:t>de</w:t>
      </w:r>
      <w:r w:rsidRPr="003F69C8">
        <w:rPr>
          <w:rFonts w:ascii="Times New Roman" w:hAnsi="Times New Roman" w:cs="Times New Roman"/>
          <w:spacing w:val="-7"/>
        </w:rPr>
        <w:t xml:space="preserve"> </w:t>
      </w:r>
      <w:r w:rsidRPr="003F69C8">
        <w:rPr>
          <w:rFonts w:ascii="Times New Roman" w:hAnsi="Times New Roman" w:cs="Times New Roman"/>
        </w:rPr>
        <w:t>la</w:t>
      </w:r>
      <w:r w:rsidRPr="003F69C8">
        <w:rPr>
          <w:rFonts w:ascii="Times New Roman" w:hAnsi="Times New Roman" w:cs="Times New Roman"/>
          <w:spacing w:val="-7"/>
        </w:rPr>
        <w:t xml:space="preserve"> </w:t>
      </w:r>
      <w:r w:rsidRPr="003F69C8">
        <w:rPr>
          <w:rFonts w:ascii="Times New Roman" w:hAnsi="Times New Roman" w:cs="Times New Roman"/>
          <w:iCs/>
        </w:rPr>
        <w:t xml:space="preserve">normativa legal que establezca los lineamientos en función de </w:t>
      </w:r>
      <w:r w:rsidRPr="003F69C8">
        <w:rPr>
          <w:rFonts w:ascii="Times New Roman" w:eastAsia="Times New Roman" w:hAnsi="Times New Roman" w:cs="Times New Roman"/>
          <w:iCs/>
        </w:rPr>
        <w:t xml:space="preserve">regularizar la posesión, de los predios estatales rurales determinado un conjunto de acciones basados en normativa vigente para legalizar, titular, redistribuir a fin de reconocer el derecho a la propiedad </w:t>
      </w:r>
      <w:r w:rsidR="0084793A">
        <w:rPr>
          <w:rFonts w:ascii="Times New Roman" w:eastAsia="Times New Roman" w:hAnsi="Times New Roman" w:cs="Times New Roman"/>
          <w:iCs/>
        </w:rPr>
        <w:t>E</w:t>
      </w:r>
      <w:r w:rsidRPr="003F69C8">
        <w:rPr>
          <w:rFonts w:ascii="Times New Roman" w:eastAsia="Times New Roman" w:hAnsi="Times New Roman" w:cs="Times New Roman"/>
          <w:iCs/>
        </w:rPr>
        <w:t xml:space="preserve">n consideración el </w:t>
      </w:r>
      <w:r w:rsidRPr="003F69C8">
        <w:rPr>
          <w:rFonts w:ascii="Times New Roman" w:eastAsia="Times New Roman" w:hAnsi="Times New Roman" w:cs="Times New Roman"/>
        </w:rPr>
        <w:t>a</w:t>
      </w:r>
      <w:r w:rsidR="002625E0" w:rsidRPr="003F69C8">
        <w:rPr>
          <w:rFonts w:ascii="Times New Roman" w:eastAsia="Times New Roman" w:hAnsi="Times New Roman" w:cs="Times New Roman"/>
        </w:rPr>
        <w:t xml:space="preserve">rtículo 1 de la Ley Orgánica para la Optimización y Eficiencia de Trámites Administrativos dispone, entre otras cuestiones, la optimización y simplificación de trámites administrativos con el fin de facilitar la relación entre los administrados y la Administración Pública y garantizar el derecho de las personas a contar con una Administración Pública eficiente, eficaz, transparente y de calidad. </w:t>
      </w:r>
      <w:r w:rsidR="00352DF2">
        <w:rPr>
          <w:rFonts w:ascii="Times New Roman" w:eastAsia="Times New Roman" w:hAnsi="Times New Roman" w:cs="Times New Roman"/>
        </w:rPr>
        <w:t>Se ha definido un proceso simplificado que permite ejercer la competencia.</w:t>
      </w:r>
    </w:p>
    <w:p w14:paraId="38AF8F8C" w14:textId="56EB095A" w:rsidR="009F1B46" w:rsidRPr="003F69C8" w:rsidRDefault="004B7F5F" w:rsidP="009F1B46">
      <w:pPr>
        <w:spacing w:line="240" w:lineRule="auto"/>
        <w:jc w:val="both"/>
        <w:rPr>
          <w:rFonts w:ascii="Times New Roman" w:eastAsia="Times New Roman" w:hAnsi="Times New Roman" w:cs="Times New Roman"/>
          <w:b/>
          <w:bCs/>
        </w:rPr>
      </w:pPr>
      <w:r w:rsidRPr="004B7F5F">
        <w:rPr>
          <w:rFonts w:ascii="Times New Roman" w:eastAsia="Times New Roman" w:hAnsi="Times New Roman" w:cs="Times New Roman"/>
          <w:b/>
          <w:bCs/>
        </w:rPr>
        <w:t>EVALUACIÓN DE LOS IMPACTOS POTENCIALES DE LAS DISTINTAS ALTERNATIVAS</w:t>
      </w:r>
    </w:p>
    <w:p w14:paraId="5270B932" w14:textId="77777777" w:rsidR="009729C2" w:rsidRDefault="009F1B46" w:rsidP="009F1B46">
      <w:pPr>
        <w:spacing w:line="240" w:lineRule="auto"/>
        <w:jc w:val="both"/>
        <w:rPr>
          <w:rStyle w:val="markedcontent"/>
          <w:rFonts w:ascii="Times New Roman" w:hAnsi="Times New Roman" w:cs="Times New Roman"/>
        </w:rPr>
      </w:pPr>
      <w:r w:rsidRPr="003F69C8">
        <w:rPr>
          <w:rFonts w:ascii="Times New Roman" w:eastAsia="Times New Roman" w:hAnsi="Times New Roman" w:cs="Times New Roman"/>
          <w:bCs/>
        </w:rPr>
        <w:t xml:space="preserve">Una vez expedida la normativa </w:t>
      </w:r>
      <w:r w:rsidR="0001345E" w:rsidRPr="003F69C8">
        <w:rPr>
          <w:rFonts w:ascii="Times New Roman" w:eastAsia="Times New Roman" w:hAnsi="Times New Roman" w:cs="Times New Roman"/>
          <w:bCs/>
        </w:rPr>
        <w:t xml:space="preserve">interna </w:t>
      </w:r>
      <w:r w:rsidRPr="003F69C8">
        <w:rPr>
          <w:rFonts w:ascii="Times New Roman" w:eastAsia="Times New Roman" w:hAnsi="Times New Roman" w:cs="Times New Roman"/>
          <w:bCs/>
        </w:rPr>
        <w:t>en función de la regularización de los predios estatales</w:t>
      </w:r>
      <w:r w:rsidR="0001345E" w:rsidRPr="003F69C8">
        <w:rPr>
          <w:rFonts w:ascii="Times New Roman" w:eastAsia="Times New Roman" w:hAnsi="Times New Roman" w:cs="Times New Roman"/>
          <w:bCs/>
        </w:rPr>
        <w:t xml:space="preserve"> rurales</w:t>
      </w:r>
      <w:r w:rsidRPr="003F69C8">
        <w:rPr>
          <w:rFonts w:ascii="Times New Roman" w:eastAsia="Times New Roman" w:hAnsi="Times New Roman" w:cs="Times New Roman"/>
          <w:bCs/>
        </w:rPr>
        <w:t xml:space="preserve"> que se encuentran </w:t>
      </w:r>
      <w:r w:rsidR="0001345E" w:rsidRPr="003F69C8">
        <w:rPr>
          <w:rFonts w:ascii="Times New Roman" w:eastAsia="Times New Roman" w:hAnsi="Times New Roman" w:cs="Times New Roman"/>
          <w:bCs/>
        </w:rPr>
        <w:t xml:space="preserve">la posesión de campesinas y campesinos, </w:t>
      </w:r>
      <w:r w:rsidRPr="003F69C8">
        <w:rPr>
          <w:rFonts w:ascii="Times New Roman" w:eastAsia="Times New Roman" w:hAnsi="Times New Roman" w:cs="Times New Roman"/>
        </w:rPr>
        <w:t>las oficinas técnicas o las coordinaciones generales regionales, generarán el cálculo relativo al valor social de la tierra, conforme lo ordena la Ley Orgánica de Tierras Rurales y Territorios Ancestrales aplicando la fórmula establecida en e</w:t>
      </w:r>
      <w:r w:rsidR="009729C2">
        <w:rPr>
          <w:rFonts w:ascii="Times New Roman" w:eastAsia="Times New Roman" w:hAnsi="Times New Roman" w:cs="Times New Roman"/>
        </w:rPr>
        <w:t>l</w:t>
      </w:r>
      <w:r w:rsidRPr="003F69C8">
        <w:rPr>
          <w:rFonts w:ascii="Times New Roman" w:eastAsia="Times New Roman" w:hAnsi="Times New Roman" w:cs="Times New Roman"/>
        </w:rPr>
        <w:t xml:space="preserve"> cuerpo normativo, a través de</w:t>
      </w:r>
      <w:r w:rsidR="009729C2">
        <w:rPr>
          <w:rFonts w:ascii="Times New Roman" w:eastAsia="Times New Roman" w:hAnsi="Times New Roman" w:cs="Times New Roman"/>
        </w:rPr>
        <w:t xml:space="preserve"> la implementación de un</w:t>
      </w:r>
      <w:r w:rsidRPr="003F69C8">
        <w:rPr>
          <w:rFonts w:ascii="Times New Roman" w:eastAsia="Times New Roman" w:hAnsi="Times New Roman" w:cs="Times New Roman"/>
        </w:rPr>
        <w:t xml:space="preserve"> sistema informático </w:t>
      </w:r>
      <w:r w:rsidR="009729C2">
        <w:rPr>
          <w:rFonts w:ascii="Times New Roman" w:eastAsia="Times New Roman" w:hAnsi="Times New Roman" w:cs="Times New Roman"/>
        </w:rPr>
        <w:t xml:space="preserve">que pretende </w:t>
      </w:r>
      <w:r w:rsidR="009729C2" w:rsidRPr="009729C2">
        <w:rPr>
          <w:rFonts w:ascii="Times New Roman" w:eastAsia="Times New Roman" w:hAnsi="Times New Roman" w:cs="Times New Roman"/>
        </w:rPr>
        <w:t xml:space="preserve">ser </w:t>
      </w:r>
      <w:r w:rsidR="009729C2" w:rsidRPr="009729C2">
        <w:rPr>
          <w:rStyle w:val="markedcontent"/>
          <w:rFonts w:ascii="Times New Roman" w:hAnsi="Times New Roman" w:cs="Times New Roman"/>
        </w:rPr>
        <w:t>el primer programa gubernamental que contempla el</w:t>
      </w:r>
      <w:r w:rsidR="009729C2" w:rsidRPr="009729C2">
        <w:rPr>
          <w:rFonts w:ascii="Times New Roman" w:hAnsi="Times New Roman" w:cs="Times New Roman"/>
        </w:rPr>
        <w:br/>
      </w:r>
      <w:r w:rsidR="009729C2" w:rsidRPr="009729C2">
        <w:rPr>
          <w:rStyle w:val="markedcontent"/>
          <w:rFonts w:ascii="Times New Roman" w:hAnsi="Times New Roman" w:cs="Times New Roman"/>
        </w:rPr>
        <w:t>desarrollo de software interoperable y la implementación de la infraestructura de</w:t>
      </w:r>
      <w:r w:rsidR="009729C2" w:rsidRPr="009729C2">
        <w:rPr>
          <w:rFonts w:ascii="Times New Roman" w:hAnsi="Times New Roman" w:cs="Times New Roman"/>
        </w:rPr>
        <w:br/>
      </w:r>
      <w:r w:rsidR="009729C2" w:rsidRPr="009729C2">
        <w:rPr>
          <w:rStyle w:val="markedcontent"/>
          <w:rFonts w:ascii="Times New Roman" w:hAnsi="Times New Roman" w:cs="Times New Roman"/>
        </w:rPr>
        <w:t>cadena de bloques (BlockChain); garantizando la seguridad digital e</w:t>
      </w:r>
      <w:r w:rsidR="009729C2" w:rsidRPr="009729C2">
        <w:rPr>
          <w:rFonts w:ascii="Times New Roman" w:hAnsi="Times New Roman" w:cs="Times New Roman"/>
        </w:rPr>
        <w:br/>
      </w:r>
      <w:r w:rsidR="009729C2" w:rsidRPr="009729C2">
        <w:rPr>
          <w:rStyle w:val="markedcontent"/>
          <w:rFonts w:ascii="Times New Roman" w:hAnsi="Times New Roman" w:cs="Times New Roman"/>
        </w:rPr>
        <w:t>inmutabilidad para evitar actos de corrupción.</w:t>
      </w:r>
    </w:p>
    <w:p w14:paraId="26C95D52" w14:textId="51A0316E" w:rsidR="0001345E" w:rsidRDefault="00230CAC" w:rsidP="00230CAC">
      <w:pPr>
        <w:spacing w:after="0" w:line="1" w:lineRule="atLeast"/>
        <w:jc w:val="both"/>
        <w:textAlignment w:val="top"/>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Para reducir el impacto económico en lo</w:t>
      </w:r>
      <w:r w:rsidR="0090429E">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posesionarios, se ha definido un modelo de gestión mediante el cual se prevé l</w:t>
      </w:r>
      <w:r w:rsidR="0001345E" w:rsidRPr="003F69C8">
        <w:rPr>
          <w:rFonts w:ascii="Times New Roman" w:eastAsia="Times New Roman" w:hAnsi="Times New Roman" w:cs="Times New Roman"/>
          <w:highlight w:val="white"/>
        </w:rPr>
        <w:t xml:space="preserve">a entrega del incentivo </w:t>
      </w:r>
      <w:r w:rsidR="0090429E">
        <w:rPr>
          <w:rFonts w:ascii="Times New Roman" w:eastAsia="Times New Roman" w:hAnsi="Times New Roman" w:cs="Times New Roman"/>
          <w:highlight w:val="white"/>
        </w:rPr>
        <w:t xml:space="preserve">económico que cubrirá el costo del </w:t>
      </w:r>
      <w:r w:rsidR="0001345E" w:rsidRPr="003F69C8">
        <w:rPr>
          <w:rFonts w:ascii="Times New Roman" w:eastAsia="Times New Roman" w:hAnsi="Times New Roman" w:cs="Times New Roman"/>
          <w:highlight w:val="white"/>
        </w:rPr>
        <w:t xml:space="preserve"> levantamiento del expediente de adjudicación</w:t>
      </w:r>
      <w:r>
        <w:rPr>
          <w:rFonts w:ascii="Times New Roman" w:eastAsia="Times New Roman" w:hAnsi="Times New Roman" w:cs="Times New Roman"/>
          <w:highlight w:val="white"/>
        </w:rPr>
        <w:t>;</w:t>
      </w:r>
      <w:r w:rsidR="0001345E" w:rsidRPr="003F69C8">
        <w:rPr>
          <w:rFonts w:ascii="Times New Roman" w:eastAsia="Times New Roman" w:hAnsi="Times New Roman" w:cs="Times New Roman"/>
          <w:highlight w:val="white"/>
        </w:rPr>
        <w:t xml:space="preserve"> </w:t>
      </w:r>
      <w:r w:rsidR="0090429E">
        <w:rPr>
          <w:rFonts w:ascii="Times New Roman" w:eastAsia="Times New Roman" w:hAnsi="Times New Roman" w:cs="Times New Roman"/>
          <w:highlight w:val="white"/>
        </w:rPr>
        <w:t xml:space="preserve">a cargo del </w:t>
      </w:r>
      <w:r w:rsidR="0001345E" w:rsidRPr="003F69C8">
        <w:rPr>
          <w:rFonts w:ascii="Times New Roman" w:eastAsia="Times New Roman" w:hAnsi="Times New Roman" w:cs="Times New Roman"/>
          <w:highlight w:val="white"/>
        </w:rPr>
        <w:t xml:space="preserve">ente rector de hábitat y vivienda </w:t>
      </w:r>
      <w:r w:rsidR="0090429E">
        <w:rPr>
          <w:rFonts w:ascii="Times New Roman" w:eastAsia="Times New Roman" w:hAnsi="Times New Roman" w:cs="Times New Roman"/>
          <w:highlight w:val="white"/>
        </w:rPr>
        <w:t>con ello se levantará el expediente de adjudicación de los predios que se encuentren en posesión de campesinos y campesinas;  e</w:t>
      </w:r>
      <w:r w:rsidR="0001345E" w:rsidRPr="003F69C8">
        <w:rPr>
          <w:rFonts w:ascii="Times New Roman" w:eastAsia="Times New Roman" w:hAnsi="Times New Roman" w:cs="Times New Roman"/>
          <w:highlight w:val="white"/>
        </w:rPr>
        <w:t>sto lo realizará de manera colaborativa con los Gobiernos Autónomos Descentralizados Municipales y/o Metropolitanos, y/o mediante la contratación o acuerdo de cooperación con el gestor técnico.</w:t>
      </w:r>
    </w:p>
    <w:p w14:paraId="3794FE3F" w14:textId="77777777" w:rsidR="0090429E" w:rsidRPr="00230CAC" w:rsidRDefault="0090429E" w:rsidP="00230CAC">
      <w:pPr>
        <w:spacing w:after="0" w:line="1" w:lineRule="atLeast"/>
        <w:jc w:val="both"/>
        <w:textAlignment w:val="top"/>
        <w:outlineLvl w:val="0"/>
        <w:rPr>
          <w:rFonts w:ascii="Times New Roman" w:eastAsia="Times New Roman" w:hAnsi="Times New Roman" w:cs="Times New Roman"/>
          <w:highlight w:val="white"/>
        </w:rPr>
      </w:pPr>
    </w:p>
    <w:p w14:paraId="684C6D98" w14:textId="5C9B70C2" w:rsidR="006F10FB" w:rsidRDefault="006F10FB" w:rsidP="006F10FB">
      <w:pPr>
        <w:spacing w:after="0" w:line="1" w:lineRule="atLeast"/>
        <w:jc w:val="both"/>
        <w:textAlignment w:val="top"/>
        <w:outlineLvl w:val="0"/>
        <w:rPr>
          <w:rFonts w:ascii="Times New Roman" w:eastAsia="Times New Roman" w:hAnsi="Times New Roman" w:cs="Times New Roman"/>
          <w:highlight w:val="white"/>
        </w:rPr>
      </w:pPr>
      <w:r w:rsidRPr="003F69C8">
        <w:rPr>
          <w:rFonts w:ascii="Times New Roman" w:eastAsia="Times New Roman" w:hAnsi="Times New Roman" w:cs="Times New Roman"/>
          <w:highlight w:val="white"/>
        </w:rPr>
        <w:t xml:space="preserve">Adicionalmente </w:t>
      </w:r>
      <w:r w:rsidR="0090429E">
        <w:rPr>
          <w:rFonts w:ascii="Times New Roman" w:eastAsia="Times New Roman" w:hAnsi="Times New Roman" w:cs="Times New Roman"/>
          <w:highlight w:val="white"/>
        </w:rPr>
        <w:t xml:space="preserve">en la propuesta del Acuerdo Ministerial se ha definido las </w:t>
      </w:r>
      <w:r w:rsidRPr="003F69C8">
        <w:rPr>
          <w:rFonts w:ascii="Times New Roman" w:eastAsia="Times New Roman" w:hAnsi="Times New Roman" w:cs="Times New Roman"/>
          <w:highlight w:val="white"/>
        </w:rPr>
        <w:t>condiciones generales y requisitos que debe cumplir la población, hogares, o núcleos familiares, como potenciales beneficiarios del programa de regularización de tierras estatales rurales ocupadas o destinadas para vivienda.</w:t>
      </w:r>
      <w:r w:rsidR="0090429E">
        <w:rPr>
          <w:rFonts w:ascii="Times New Roman" w:eastAsia="Times New Roman" w:hAnsi="Times New Roman" w:cs="Times New Roman"/>
          <w:highlight w:val="white"/>
        </w:rPr>
        <w:t xml:space="preserve"> que de manera general so</w:t>
      </w:r>
      <w:r w:rsidRPr="003F69C8">
        <w:rPr>
          <w:rFonts w:ascii="Times New Roman" w:eastAsia="Times New Roman" w:hAnsi="Times New Roman" w:cs="Times New Roman"/>
          <w:highlight w:val="white"/>
        </w:rPr>
        <w:t xml:space="preserve">n </w:t>
      </w:r>
      <w:r w:rsidR="0090429E">
        <w:rPr>
          <w:rFonts w:ascii="Times New Roman" w:eastAsia="Times New Roman" w:hAnsi="Times New Roman" w:cs="Times New Roman"/>
          <w:highlight w:val="white"/>
        </w:rPr>
        <w:t>l</w:t>
      </w:r>
      <w:r w:rsidRPr="003F69C8">
        <w:rPr>
          <w:rFonts w:ascii="Times New Roman" w:eastAsia="Times New Roman" w:hAnsi="Times New Roman" w:cs="Times New Roman"/>
          <w:highlight w:val="white"/>
        </w:rPr>
        <w:t xml:space="preserve">os siguientes: </w:t>
      </w:r>
    </w:p>
    <w:p w14:paraId="3CCC4E2F" w14:textId="77777777" w:rsidR="00CD35E2" w:rsidRPr="003F69C8" w:rsidRDefault="00CD35E2" w:rsidP="006F10FB">
      <w:pPr>
        <w:spacing w:after="0" w:line="1" w:lineRule="atLeast"/>
        <w:jc w:val="both"/>
        <w:textAlignment w:val="top"/>
        <w:outlineLvl w:val="0"/>
        <w:rPr>
          <w:rFonts w:ascii="Times New Roman" w:hAnsi="Times New Roman" w:cs="Times New Roman"/>
          <w:highlight w:val="white"/>
        </w:rPr>
      </w:pPr>
    </w:p>
    <w:p w14:paraId="57154DEA" w14:textId="77777777" w:rsidR="006F10FB" w:rsidRPr="003F69C8" w:rsidRDefault="006F10FB" w:rsidP="006F10FB">
      <w:pPr>
        <w:numPr>
          <w:ilvl w:val="0"/>
          <w:numId w:val="2"/>
        </w:numPr>
        <w:spacing w:after="0" w:line="1" w:lineRule="atLeast"/>
        <w:jc w:val="both"/>
        <w:textAlignment w:val="top"/>
        <w:outlineLvl w:val="0"/>
        <w:rPr>
          <w:rFonts w:ascii="Times New Roman" w:eastAsia="Times New Roman" w:hAnsi="Times New Roman" w:cs="Times New Roman"/>
          <w:highlight w:val="white"/>
        </w:rPr>
      </w:pPr>
      <w:r w:rsidRPr="003F69C8">
        <w:rPr>
          <w:rFonts w:ascii="Times New Roman" w:eastAsia="Times New Roman" w:hAnsi="Times New Roman" w:cs="Times New Roman"/>
          <w:highlight w:val="white"/>
        </w:rPr>
        <w:t>Estar en posesión ininterrumpida de un predio estatal rural ocupado o destinado para vivienda.</w:t>
      </w:r>
    </w:p>
    <w:p w14:paraId="675AE0D9" w14:textId="77777777" w:rsidR="006F10FB" w:rsidRPr="003F69C8" w:rsidRDefault="006F10FB" w:rsidP="006F10FB">
      <w:pPr>
        <w:numPr>
          <w:ilvl w:val="0"/>
          <w:numId w:val="2"/>
        </w:numPr>
        <w:spacing w:after="0" w:line="1" w:lineRule="atLeast"/>
        <w:jc w:val="both"/>
        <w:textAlignment w:val="top"/>
        <w:outlineLvl w:val="0"/>
        <w:rPr>
          <w:rFonts w:ascii="Times New Roman" w:eastAsia="Times New Roman" w:hAnsi="Times New Roman" w:cs="Times New Roman"/>
          <w:highlight w:val="white"/>
        </w:rPr>
      </w:pPr>
      <w:r w:rsidRPr="003F69C8">
        <w:rPr>
          <w:rFonts w:ascii="Times New Roman" w:eastAsia="Times New Roman" w:hAnsi="Times New Roman" w:cs="Times New Roman"/>
          <w:highlight w:val="white"/>
        </w:rPr>
        <w:t>Tiempo de posesión, al menos 5 años consecutivos.</w:t>
      </w:r>
    </w:p>
    <w:p w14:paraId="2470D2AE" w14:textId="77777777" w:rsidR="006F10FB" w:rsidRPr="003F69C8" w:rsidRDefault="006F10FB" w:rsidP="006F10FB">
      <w:pPr>
        <w:numPr>
          <w:ilvl w:val="0"/>
          <w:numId w:val="2"/>
        </w:numPr>
        <w:spacing w:after="0" w:line="1" w:lineRule="atLeast"/>
        <w:jc w:val="both"/>
        <w:textAlignment w:val="top"/>
        <w:outlineLvl w:val="0"/>
        <w:rPr>
          <w:rFonts w:ascii="Times New Roman" w:eastAsia="Times New Roman" w:hAnsi="Times New Roman" w:cs="Times New Roman"/>
          <w:highlight w:val="white"/>
        </w:rPr>
      </w:pPr>
      <w:r w:rsidRPr="003F69C8">
        <w:rPr>
          <w:rFonts w:ascii="Times New Roman" w:eastAsia="Times New Roman" w:hAnsi="Times New Roman" w:cs="Times New Roman"/>
          <w:highlight w:val="white"/>
        </w:rPr>
        <w:t xml:space="preserve">Que el predio sujeto a regularización, esté contemplado dentro de la planificación de intervención masiva, determinado por el ente rector de hábitat y vivienda. </w:t>
      </w:r>
    </w:p>
    <w:p w14:paraId="351FB105" w14:textId="77777777" w:rsidR="006F10FB" w:rsidRPr="003F69C8" w:rsidRDefault="006F10FB" w:rsidP="0001345E">
      <w:pPr>
        <w:spacing w:line="240" w:lineRule="auto"/>
        <w:jc w:val="both"/>
        <w:rPr>
          <w:rFonts w:ascii="Times New Roman" w:eastAsia="Times New Roman" w:hAnsi="Times New Roman" w:cs="Times New Roman"/>
        </w:rPr>
      </w:pPr>
    </w:p>
    <w:p w14:paraId="109E5FAE" w14:textId="131C82CF" w:rsidR="0001345E" w:rsidRDefault="004B7F5F" w:rsidP="009F1B46">
      <w:pPr>
        <w:spacing w:line="240" w:lineRule="auto"/>
        <w:jc w:val="both"/>
        <w:rPr>
          <w:rFonts w:ascii="Times New Roman" w:eastAsia="Times New Roman" w:hAnsi="Times New Roman" w:cs="Times New Roman"/>
          <w:b/>
          <w:bCs/>
        </w:rPr>
      </w:pPr>
      <w:r w:rsidRPr="004B7F5F">
        <w:rPr>
          <w:rFonts w:ascii="Times New Roman" w:eastAsia="Times New Roman" w:hAnsi="Times New Roman" w:cs="Times New Roman"/>
          <w:b/>
          <w:bCs/>
        </w:rPr>
        <w:t>SELECCIÓN DE LA ALTERNATIVA QUE GENERA EL MAYOR BENEFICIO NETO PARA LA SOCIEDAD</w:t>
      </w:r>
      <w:r>
        <w:rPr>
          <w:rFonts w:ascii="Times New Roman" w:eastAsia="Times New Roman" w:hAnsi="Times New Roman" w:cs="Times New Roman"/>
          <w:b/>
          <w:bCs/>
        </w:rPr>
        <w:t>:</w:t>
      </w:r>
    </w:p>
    <w:p w14:paraId="2F917E4F" w14:textId="77777777" w:rsidR="00744D88" w:rsidRPr="003F69C8" w:rsidRDefault="00744D88" w:rsidP="009F1B46">
      <w:pPr>
        <w:spacing w:line="240" w:lineRule="auto"/>
        <w:jc w:val="both"/>
        <w:rPr>
          <w:rFonts w:ascii="Times New Roman" w:eastAsia="Times New Roman" w:hAnsi="Times New Roman" w:cs="Times New Roman"/>
          <w:b/>
          <w:bCs/>
        </w:rPr>
      </w:pPr>
    </w:p>
    <w:p w14:paraId="58366F12" w14:textId="04E03A65" w:rsidR="007F76DA" w:rsidRDefault="007F76DA" w:rsidP="00744D88">
      <w:pPr>
        <w:pStyle w:val="Prrafodelista"/>
        <w:numPr>
          <w:ilvl w:val="0"/>
          <w:numId w:val="3"/>
        </w:numPr>
        <w:spacing w:line="240" w:lineRule="auto"/>
        <w:jc w:val="both"/>
        <w:rPr>
          <w:rFonts w:ascii="Times New Roman" w:hAnsi="Times New Roman" w:cs="Times New Roman"/>
        </w:rPr>
      </w:pPr>
      <w:r w:rsidRPr="00744D88">
        <w:rPr>
          <w:rFonts w:ascii="Times New Roman" w:hAnsi="Times New Roman" w:cs="Times New Roman"/>
        </w:rPr>
        <w:t>Una vez aprobada</w:t>
      </w:r>
      <w:r w:rsidR="009A66C2" w:rsidRPr="00744D88">
        <w:rPr>
          <w:rFonts w:ascii="Times New Roman" w:hAnsi="Times New Roman" w:cs="Times New Roman"/>
        </w:rPr>
        <w:t>,</w:t>
      </w:r>
      <w:r w:rsidRPr="00744D88">
        <w:rPr>
          <w:rFonts w:ascii="Times New Roman" w:hAnsi="Times New Roman" w:cs="Times New Roman"/>
        </w:rPr>
        <w:t xml:space="preserve"> expedida</w:t>
      </w:r>
      <w:r w:rsidR="009A66C2" w:rsidRPr="00744D88">
        <w:rPr>
          <w:rFonts w:ascii="Times New Roman" w:hAnsi="Times New Roman" w:cs="Times New Roman"/>
        </w:rPr>
        <w:t xml:space="preserve"> y entrada en vig</w:t>
      </w:r>
      <w:r w:rsidR="00744D88" w:rsidRPr="00744D88">
        <w:rPr>
          <w:rFonts w:ascii="Times New Roman" w:hAnsi="Times New Roman" w:cs="Times New Roman"/>
        </w:rPr>
        <w:t xml:space="preserve">encia, la </w:t>
      </w:r>
      <w:r w:rsidR="009A66C2" w:rsidRPr="00744D88">
        <w:rPr>
          <w:rFonts w:ascii="Times New Roman" w:hAnsi="Times New Roman" w:cs="Times New Roman"/>
        </w:rPr>
        <w:t>normativa</w:t>
      </w:r>
      <w:r w:rsidR="00744D88" w:rsidRPr="00744D88">
        <w:rPr>
          <w:rFonts w:ascii="Times New Roman" w:hAnsi="Times New Roman" w:cs="Times New Roman"/>
        </w:rPr>
        <w:t>,</w:t>
      </w:r>
      <w:r w:rsidR="009A66C2" w:rsidRPr="00744D88">
        <w:rPr>
          <w:rFonts w:ascii="Times New Roman" w:hAnsi="Times New Roman" w:cs="Times New Roman"/>
        </w:rPr>
        <w:t xml:space="preserve"> se elaborará y pondrá a consideración el plan de implementación completamente estructurado, considerando una campaña de comunicación tanto interna como externa. La consulta se realizará a través de medios electrónicos como es la página web oficial del Ministerio de Desarrollo Urbano y Vivienda, para la recepción de opiniones, sugerencias, comentarios, por parte de la ciudadanía en general; se implementará el tiempo de duración de manera excepcional a la consulta pública</w:t>
      </w:r>
      <w:r w:rsidR="00744D88">
        <w:rPr>
          <w:rFonts w:ascii="Times New Roman" w:hAnsi="Times New Roman" w:cs="Times New Roman"/>
        </w:rPr>
        <w:t>, en función de participación ciudadana.</w:t>
      </w:r>
    </w:p>
    <w:p w14:paraId="292CD596" w14:textId="77777777" w:rsidR="00CD35E2" w:rsidRDefault="00CD35E2" w:rsidP="00CD35E2">
      <w:pPr>
        <w:pStyle w:val="Prrafodelista"/>
        <w:spacing w:line="240" w:lineRule="auto"/>
        <w:ind w:left="718"/>
        <w:jc w:val="both"/>
        <w:rPr>
          <w:rFonts w:ascii="Times New Roman" w:hAnsi="Times New Roman" w:cs="Times New Roman"/>
        </w:rPr>
      </w:pPr>
    </w:p>
    <w:p w14:paraId="782E3E39" w14:textId="77777777" w:rsidR="00434B45" w:rsidRPr="00434B45" w:rsidRDefault="00434B45" w:rsidP="00434B45">
      <w:pPr>
        <w:pStyle w:val="Prrafodelista"/>
        <w:numPr>
          <w:ilvl w:val="0"/>
          <w:numId w:val="3"/>
        </w:numPr>
        <w:spacing w:line="240" w:lineRule="auto"/>
        <w:jc w:val="both"/>
        <w:rPr>
          <w:rFonts w:ascii="Times New Roman" w:hAnsi="Times New Roman" w:cs="Times New Roman"/>
        </w:rPr>
      </w:pPr>
      <w:r w:rsidRPr="00434B45">
        <w:rPr>
          <w:rFonts w:ascii="Times New Roman" w:hAnsi="Times New Roman" w:cs="Times New Roman"/>
        </w:rPr>
        <w:t>Establecer el procedimiento actualizado, eficiente y automatizado; para la regularización y adjudicación de predios rurales que actualmente están ocupados o destinados para vivienda de campesinas y campesinos que se encuentran en posesión de tierras estatales, en cumplimiento de la Ley Orgánica de Tierras Rurales y Territorios Ancestrales, los componentes definidos en el Plan Nacional de Hábitat y Vivienda y el Programa Creamos Patrimonio a ser implementado en el Gobierno del Encuentro.</w:t>
      </w:r>
    </w:p>
    <w:p w14:paraId="07E85C6C" w14:textId="77777777" w:rsidR="00434B45" w:rsidRPr="00744D88" w:rsidRDefault="00434B45" w:rsidP="00434B45">
      <w:pPr>
        <w:pStyle w:val="Prrafodelista"/>
        <w:spacing w:line="240" w:lineRule="auto"/>
        <w:ind w:left="718"/>
        <w:jc w:val="both"/>
        <w:rPr>
          <w:rFonts w:ascii="Times New Roman" w:hAnsi="Times New Roman" w:cs="Times New Roman"/>
        </w:rPr>
      </w:pPr>
    </w:p>
    <w:p w14:paraId="2C6E9955" w14:textId="0497E2A0" w:rsidR="009A66C2" w:rsidRPr="003F69C8" w:rsidRDefault="009A66C2" w:rsidP="009A66C2">
      <w:pPr>
        <w:spacing w:line="240" w:lineRule="auto"/>
        <w:ind w:hanging="2"/>
        <w:jc w:val="both"/>
        <w:rPr>
          <w:rFonts w:ascii="Times New Roman" w:eastAsia="Times New Roman" w:hAnsi="Times New Roman" w:cs="Times New Roman"/>
          <w:iCs/>
        </w:rPr>
      </w:pPr>
      <w:r w:rsidRPr="003F69C8">
        <w:rPr>
          <w:rFonts w:ascii="Times New Roman" w:hAnsi="Times New Roman" w:cs="Times New Roman"/>
        </w:rPr>
        <w:t xml:space="preserve"> </w:t>
      </w:r>
    </w:p>
    <w:p w14:paraId="46021809" w14:textId="77777777" w:rsidR="002625E0" w:rsidRPr="009D270A" w:rsidRDefault="002625E0" w:rsidP="002625E0">
      <w:pPr>
        <w:spacing w:line="240" w:lineRule="auto"/>
        <w:ind w:hanging="2"/>
        <w:jc w:val="both"/>
        <w:rPr>
          <w:rFonts w:ascii="Times New Roman" w:eastAsia="Times New Roman" w:hAnsi="Times New Roman" w:cs="Times New Roman"/>
        </w:rPr>
      </w:pPr>
    </w:p>
    <w:p w14:paraId="03A9DF94" w14:textId="77777777" w:rsidR="002625E0" w:rsidRDefault="002625E0"/>
    <w:sectPr w:rsidR="002625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905E15"/>
    <w:multiLevelType w:val="multilevel"/>
    <w:tmpl w:val="F31AE5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63A44AA4"/>
    <w:multiLevelType w:val="hybridMultilevel"/>
    <w:tmpl w:val="803ACA94"/>
    <w:lvl w:ilvl="0" w:tplc="300A0001">
      <w:start w:val="1"/>
      <w:numFmt w:val="bullet"/>
      <w:lvlText w:val=""/>
      <w:lvlJc w:val="left"/>
      <w:pPr>
        <w:ind w:left="718" w:hanging="360"/>
      </w:pPr>
      <w:rPr>
        <w:rFonts w:ascii="Symbol" w:hAnsi="Symbol" w:hint="default"/>
      </w:rPr>
    </w:lvl>
    <w:lvl w:ilvl="1" w:tplc="300A0003" w:tentative="1">
      <w:start w:val="1"/>
      <w:numFmt w:val="bullet"/>
      <w:lvlText w:val="o"/>
      <w:lvlJc w:val="left"/>
      <w:pPr>
        <w:ind w:left="1438" w:hanging="360"/>
      </w:pPr>
      <w:rPr>
        <w:rFonts w:ascii="Courier New" w:hAnsi="Courier New" w:cs="Courier New" w:hint="default"/>
      </w:rPr>
    </w:lvl>
    <w:lvl w:ilvl="2" w:tplc="300A0005" w:tentative="1">
      <w:start w:val="1"/>
      <w:numFmt w:val="bullet"/>
      <w:lvlText w:val=""/>
      <w:lvlJc w:val="left"/>
      <w:pPr>
        <w:ind w:left="2158" w:hanging="360"/>
      </w:pPr>
      <w:rPr>
        <w:rFonts w:ascii="Wingdings" w:hAnsi="Wingdings" w:hint="default"/>
      </w:rPr>
    </w:lvl>
    <w:lvl w:ilvl="3" w:tplc="300A0001" w:tentative="1">
      <w:start w:val="1"/>
      <w:numFmt w:val="bullet"/>
      <w:lvlText w:val=""/>
      <w:lvlJc w:val="left"/>
      <w:pPr>
        <w:ind w:left="2878" w:hanging="360"/>
      </w:pPr>
      <w:rPr>
        <w:rFonts w:ascii="Symbol" w:hAnsi="Symbol" w:hint="default"/>
      </w:rPr>
    </w:lvl>
    <w:lvl w:ilvl="4" w:tplc="300A0003" w:tentative="1">
      <w:start w:val="1"/>
      <w:numFmt w:val="bullet"/>
      <w:lvlText w:val="o"/>
      <w:lvlJc w:val="left"/>
      <w:pPr>
        <w:ind w:left="3598" w:hanging="360"/>
      </w:pPr>
      <w:rPr>
        <w:rFonts w:ascii="Courier New" w:hAnsi="Courier New" w:cs="Courier New" w:hint="default"/>
      </w:rPr>
    </w:lvl>
    <w:lvl w:ilvl="5" w:tplc="300A0005" w:tentative="1">
      <w:start w:val="1"/>
      <w:numFmt w:val="bullet"/>
      <w:lvlText w:val=""/>
      <w:lvlJc w:val="left"/>
      <w:pPr>
        <w:ind w:left="4318" w:hanging="360"/>
      </w:pPr>
      <w:rPr>
        <w:rFonts w:ascii="Wingdings" w:hAnsi="Wingdings" w:hint="default"/>
      </w:rPr>
    </w:lvl>
    <w:lvl w:ilvl="6" w:tplc="300A0001" w:tentative="1">
      <w:start w:val="1"/>
      <w:numFmt w:val="bullet"/>
      <w:lvlText w:val=""/>
      <w:lvlJc w:val="left"/>
      <w:pPr>
        <w:ind w:left="5038" w:hanging="360"/>
      </w:pPr>
      <w:rPr>
        <w:rFonts w:ascii="Symbol" w:hAnsi="Symbol" w:hint="default"/>
      </w:rPr>
    </w:lvl>
    <w:lvl w:ilvl="7" w:tplc="300A0003" w:tentative="1">
      <w:start w:val="1"/>
      <w:numFmt w:val="bullet"/>
      <w:lvlText w:val="o"/>
      <w:lvlJc w:val="left"/>
      <w:pPr>
        <w:ind w:left="5758" w:hanging="360"/>
      </w:pPr>
      <w:rPr>
        <w:rFonts w:ascii="Courier New" w:hAnsi="Courier New" w:cs="Courier New" w:hint="default"/>
      </w:rPr>
    </w:lvl>
    <w:lvl w:ilvl="8" w:tplc="300A0005" w:tentative="1">
      <w:start w:val="1"/>
      <w:numFmt w:val="bullet"/>
      <w:lvlText w:val=""/>
      <w:lvlJc w:val="left"/>
      <w:pPr>
        <w:ind w:left="6478" w:hanging="360"/>
      </w:pPr>
      <w:rPr>
        <w:rFonts w:ascii="Wingdings" w:hAnsi="Wingdings" w:hint="default"/>
      </w:rPr>
    </w:lvl>
  </w:abstractNum>
  <w:abstractNum w:abstractNumId="2" w15:restartNumberingAfterBreak="0">
    <w:nsid w:val="7355539C"/>
    <w:multiLevelType w:val="multilevel"/>
    <w:tmpl w:val="BCE42226"/>
    <w:lvl w:ilvl="0">
      <w:start w:val="1"/>
      <w:numFmt w:val="decimal"/>
      <w:lvlText w:val="Artículo %1."/>
      <w:lvlJc w:val="left"/>
      <w:pPr>
        <w:ind w:left="70" w:firstLine="0"/>
      </w:pPr>
      <w:rPr>
        <w:rFonts w:ascii="Times New Roman" w:eastAsia="Times New Roman" w:hAnsi="Times New Roman" w:cs="Times New Roman"/>
        <w:b/>
        <w:i w:val="0"/>
        <w:smallCaps w:val="0"/>
        <w:strike w:val="0"/>
        <w:color w:val="000000"/>
        <w:sz w:val="22"/>
        <w:szCs w:val="22"/>
        <w:vertAlign w:val="baseline"/>
      </w:rPr>
    </w:lvl>
    <w:lvl w:ilvl="1">
      <w:start w:val="1"/>
      <w:numFmt w:val="decimal"/>
      <w:lvlText w:val="Parte %2."/>
      <w:lvlJc w:val="left"/>
      <w:pPr>
        <w:ind w:left="0" w:firstLine="0"/>
      </w:pPr>
      <w:rPr>
        <w:b/>
        <w:vertAlign w:val="baseline"/>
      </w:rPr>
    </w:lvl>
    <w:lvl w:ilvl="2">
      <w:start w:val="1"/>
      <w:numFmt w:val="decimal"/>
      <w:lvlText w:val="%3"/>
      <w:lvlJc w:val="right"/>
      <w:pPr>
        <w:ind w:left="170" w:firstLine="0"/>
      </w:pPr>
      <w:rPr>
        <w:vertAlign w:val="baseline"/>
      </w:rPr>
    </w:lvl>
    <w:lvl w:ilvl="3">
      <w:start w:val="1"/>
      <w:numFmt w:val="decimal"/>
      <w:lvlText w:val="%4."/>
      <w:lvlJc w:val="left"/>
      <w:pPr>
        <w:ind w:left="227" w:firstLine="0"/>
      </w:pPr>
      <w:rPr>
        <w:vertAlign w:val="baseline"/>
      </w:rPr>
    </w:lvl>
    <w:lvl w:ilvl="4">
      <w:start w:val="1"/>
      <w:numFmt w:val="lowerLetter"/>
      <w:lvlText w:val="%5."/>
      <w:lvlJc w:val="left"/>
      <w:pPr>
        <w:ind w:left="340" w:firstLine="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F9"/>
    <w:rsid w:val="0001345E"/>
    <w:rsid w:val="00094619"/>
    <w:rsid w:val="00145135"/>
    <w:rsid w:val="00192E9B"/>
    <w:rsid w:val="00230CAC"/>
    <w:rsid w:val="002625E0"/>
    <w:rsid w:val="00352DF2"/>
    <w:rsid w:val="00354090"/>
    <w:rsid w:val="003F69C8"/>
    <w:rsid w:val="00434B45"/>
    <w:rsid w:val="004B0FC2"/>
    <w:rsid w:val="004B7F5F"/>
    <w:rsid w:val="00515B37"/>
    <w:rsid w:val="005C51C3"/>
    <w:rsid w:val="006647FC"/>
    <w:rsid w:val="006F10FB"/>
    <w:rsid w:val="00744D88"/>
    <w:rsid w:val="007B29D4"/>
    <w:rsid w:val="007F76DA"/>
    <w:rsid w:val="008103CA"/>
    <w:rsid w:val="0084793A"/>
    <w:rsid w:val="008874F1"/>
    <w:rsid w:val="008D3BB6"/>
    <w:rsid w:val="0090429E"/>
    <w:rsid w:val="009729C2"/>
    <w:rsid w:val="00975414"/>
    <w:rsid w:val="0098466C"/>
    <w:rsid w:val="009A66C2"/>
    <w:rsid w:val="009F1B46"/>
    <w:rsid w:val="00AE3FF3"/>
    <w:rsid w:val="00B96CD4"/>
    <w:rsid w:val="00C72DD5"/>
    <w:rsid w:val="00CD35E2"/>
    <w:rsid w:val="00CD7104"/>
    <w:rsid w:val="00D101F7"/>
    <w:rsid w:val="00E4080D"/>
    <w:rsid w:val="00EE10F9"/>
    <w:rsid w:val="00F07247"/>
    <w:rsid w:val="00F106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66E1"/>
  <w15:chartTrackingRefBased/>
  <w15:docId w15:val="{0FA6C36E-83FB-46A8-8A4D-AFB72161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4D88"/>
    <w:pPr>
      <w:ind w:left="720"/>
      <w:contextualSpacing/>
    </w:pPr>
  </w:style>
  <w:style w:type="paragraph" w:styleId="Textoindependiente">
    <w:name w:val="Body Text"/>
    <w:basedOn w:val="Normal"/>
    <w:link w:val="TextoindependienteCar"/>
    <w:uiPriority w:val="1"/>
    <w:qFormat/>
    <w:rsid w:val="00434B45"/>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434B45"/>
    <w:rPr>
      <w:rFonts w:ascii="Arial MT" w:eastAsia="Arial MT" w:hAnsi="Arial MT" w:cs="Arial MT"/>
      <w:sz w:val="20"/>
      <w:szCs w:val="20"/>
      <w:lang w:val="es-ES"/>
    </w:rPr>
  </w:style>
  <w:style w:type="character" w:customStyle="1" w:styleId="markedcontent">
    <w:name w:val="markedcontent"/>
    <w:basedOn w:val="Fuentedeprrafopredeter"/>
    <w:rsid w:val="0097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Cecilia Coello Argüello</dc:creator>
  <cp:keywords/>
  <dc:description/>
  <cp:lastModifiedBy>Mónica Cecilia Coello Argüello</cp:lastModifiedBy>
  <cp:revision>15</cp:revision>
  <cp:lastPrinted>2022-11-09T16:52:00Z</cp:lastPrinted>
  <dcterms:created xsi:type="dcterms:W3CDTF">2022-10-27T21:41:00Z</dcterms:created>
  <dcterms:modified xsi:type="dcterms:W3CDTF">2022-11-09T17:24:00Z</dcterms:modified>
</cp:coreProperties>
</file>